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B9E5E" w14:textId="72B3D764" w:rsidR="0011221F" w:rsidRPr="00833E7A" w:rsidRDefault="0011221F" w:rsidP="00833E7A">
      <w:pPr>
        <w:jc w:val="both"/>
        <w:rPr>
          <w:rFonts w:ascii="Arial" w:hAnsi="Arial" w:cs="Arial"/>
          <w:sz w:val="20"/>
          <w:szCs w:val="20"/>
        </w:rPr>
      </w:pPr>
      <w:r w:rsidRPr="00833E7A">
        <w:rPr>
          <w:rFonts w:ascii="Arial" w:hAnsi="Arial" w:cs="Arial"/>
          <w:sz w:val="20"/>
          <w:szCs w:val="20"/>
        </w:rPr>
        <w:t>xx.</w:t>
      </w:r>
      <w:r w:rsidRPr="00833E7A">
        <w:rPr>
          <w:rFonts w:ascii="Arial" w:hAnsi="Arial" w:cs="Arial"/>
          <w:sz w:val="20"/>
          <w:szCs w:val="20"/>
        </w:rPr>
        <w:tab/>
        <w:t>člen</w:t>
      </w:r>
    </w:p>
    <w:p w14:paraId="18F7717D" w14:textId="77777777" w:rsidR="0011221F" w:rsidRPr="00833E7A" w:rsidRDefault="0011221F" w:rsidP="00833E7A">
      <w:pPr>
        <w:jc w:val="both"/>
        <w:rPr>
          <w:rFonts w:ascii="Arial" w:hAnsi="Arial" w:cs="Arial"/>
          <w:sz w:val="20"/>
          <w:szCs w:val="20"/>
        </w:rPr>
      </w:pPr>
    </w:p>
    <w:p w14:paraId="67C98D1E" w14:textId="77777777" w:rsidR="0011221F" w:rsidRPr="00833E7A" w:rsidRDefault="0011221F" w:rsidP="00833E7A">
      <w:pPr>
        <w:jc w:val="both"/>
        <w:rPr>
          <w:rFonts w:ascii="Arial" w:hAnsi="Arial" w:cs="Arial"/>
          <w:sz w:val="20"/>
          <w:szCs w:val="20"/>
        </w:rPr>
      </w:pPr>
      <w:r w:rsidRPr="00833E7A">
        <w:rPr>
          <w:rFonts w:ascii="Arial" w:hAnsi="Arial" w:cs="Arial"/>
          <w:sz w:val="20"/>
          <w:szCs w:val="20"/>
        </w:rPr>
        <w:t xml:space="preserve">Končni obračun letne zavarovalne premije pripravi zavarovalnica na podlagi dejanskih podatkov (po zaključnem računu na dan 31. 12. 2020) prijavljenih predmetov zavarovanj ali premoženjskih interesov posameznega naročnika in izbranih zavarovalnih vrst in podvrst, ki jih le ta posreduje zavarovalnici s prijavami v tekočem letu, najkasneje do 15.10. vsakega  zavarovalnega leta. </w:t>
      </w:r>
    </w:p>
    <w:p w14:paraId="3A37A764" w14:textId="77777777" w:rsidR="0011221F" w:rsidRPr="00833E7A" w:rsidRDefault="0011221F" w:rsidP="00833E7A">
      <w:pPr>
        <w:jc w:val="both"/>
        <w:rPr>
          <w:rFonts w:ascii="Arial" w:hAnsi="Arial" w:cs="Arial"/>
          <w:sz w:val="20"/>
          <w:szCs w:val="20"/>
        </w:rPr>
      </w:pPr>
    </w:p>
    <w:p w14:paraId="041D8BF6" w14:textId="77777777" w:rsidR="0011221F" w:rsidRPr="00833E7A" w:rsidRDefault="0011221F" w:rsidP="00833E7A">
      <w:pPr>
        <w:jc w:val="both"/>
        <w:rPr>
          <w:rFonts w:ascii="Arial" w:hAnsi="Arial" w:cs="Arial"/>
          <w:sz w:val="20"/>
          <w:szCs w:val="20"/>
        </w:rPr>
      </w:pPr>
      <w:r w:rsidRPr="00833E7A">
        <w:rPr>
          <w:rFonts w:ascii="Arial" w:hAnsi="Arial" w:cs="Arial"/>
          <w:sz w:val="20"/>
          <w:szCs w:val="20"/>
        </w:rPr>
        <w:t>Zavarovalnica izstavi obračunski račun ali obračunski dobropis za razliko med že fakturirano akontacijo letne premije in končnim obračunom letne zavarovalne premije, v roku deset dni po potrjenem letnem obračunu s strani posameznega naročnika. Naročnik ima na voljo pet delovnih dni, da potrdi obračun zavarovalnice.</w:t>
      </w:r>
    </w:p>
    <w:p w14:paraId="7C8F0DAB" w14:textId="77777777" w:rsidR="0011221F" w:rsidRPr="00833E7A" w:rsidRDefault="0011221F" w:rsidP="00833E7A">
      <w:pPr>
        <w:jc w:val="both"/>
        <w:rPr>
          <w:rFonts w:ascii="Arial" w:hAnsi="Arial" w:cs="Arial"/>
          <w:sz w:val="20"/>
          <w:szCs w:val="20"/>
        </w:rPr>
      </w:pPr>
    </w:p>
    <w:p w14:paraId="170C46E5" w14:textId="77777777" w:rsidR="0011221F" w:rsidRPr="00833E7A" w:rsidRDefault="0011221F" w:rsidP="00833E7A">
      <w:pPr>
        <w:jc w:val="both"/>
        <w:rPr>
          <w:rFonts w:ascii="Arial" w:hAnsi="Arial" w:cs="Arial"/>
          <w:sz w:val="20"/>
          <w:szCs w:val="20"/>
        </w:rPr>
      </w:pPr>
      <w:r w:rsidRPr="00833E7A">
        <w:rPr>
          <w:rFonts w:ascii="Arial" w:hAnsi="Arial" w:cs="Arial"/>
          <w:sz w:val="20"/>
          <w:szCs w:val="20"/>
        </w:rPr>
        <w:t xml:space="preserve">Ustrezna premijska stopnja, znižana za polovico, se uporabi samo v primeru spremembe dejanskih podatkov posameznega naročnika za več kot +/- 10%. To pa ne velja za celotne zmogljivosti na novi lokaciji (poslovne prostore, opremo ipd..), ki jih posamezni  naročnik prijavi ali odjavi med zavarovalnim letom. V tem primeru se zavarovalna premija obračuna po načinu »pro-rata </w:t>
      </w:r>
      <w:proofErr w:type="spellStart"/>
      <w:r w:rsidRPr="00833E7A">
        <w:rPr>
          <w:rFonts w:ascii="Arial" w:hAnsi="Arial" w:cs="Arial"/>
          <w:sz w:val="20"/>
          <w:szCs w:val="20"/>
        </w:rPr>
        <w:t>temporis</w:t>
      </w:r>
      <w:proofErr w:type="spellEnd"/>
      <w:r w:rsidRPr="00833E7A">
        <w:rPr>
          <w:rFonts w:ascii="Arial" w:hAnsi="Arial" w:cs="Arial"/>
          <w:sz w:val="20"/>
          <w:szCs w:val="20"/>
        </w:rPr>
        <w:t>« od dneva pridobitve ali od dneva odsvojitve do konca zavarovalnega leta.  Vse spremembe do +/- 10 % se ne obračunajo.</w:t>
      </w:r>
    </w:p>
    <w:p w14:paraId="4D0876B6" w14:textId="77777777" w:rsidR="0011221F" w:rsidRPr="00833E7A" w:rsidRDefault="0011221F" w:rsidP="00833E7A">
      <w:pPr>
        <w:jc w:val="both"/>
        <w:rPr>
          <w:rFonts w:ascii="Arial" w:hAnsi="Arial" w:cs="Arial"/>
          <w:sz w:val="20"/>
          <w:szCs w:val="20"/>
        </w:rPr>
      </w:pPr>
    </w:p>
    <w:p w14:paraId="58BF14CF" w14:textId="77777777" w:rsidR="0011221F" w:rsidRPr="00833E7A" w:rsidRDefault="0011221F" w:rsidP="00833E7A">
      <w:pPr>
        <w:jc w:val="both"/>
        <w:rPr>
          <w:rFonts w:ascii="Arial" w:hAnsi="Arial" w:cs="Arial"/>
          <w:sz w:val="20"/>
          <w:szCs w:val="20"/>
        </w:rPr>
      </w:pPr>
      <w:r w:rsidRPr="00833E7A">
        <w:rPr>
          <w:rFonts w:ascii="Arial" w:hAnsi="Arial" w:cs="Arial"/>
          <w:sz w:val="20"/>
          <w:szCs w:val="20"/>
        </w:rPr>
        <w:t xml:space="preserve">Kadar je pri obračunu letne zavarovalne premije znesek le te višji od zneska fakturirane in plačane letne akontacije premije, posameznemu naročniku zavarovalnica izstavi obračunski račun, ki ga posamezni naročnik plača 30. dan oziroma v 30 dneh (odvisno od vrste naročnika v skladu z Zakonom o izvrševanju proračunov RS ali od sofinanciranja naročnikov iz sredstev Evropske Unije, kot določijo posamezni naročniki v polici oz. v skladu s trenutno veljavno zakonodajo), po uradnem prejemu pravilno izstavljenega računa. </w:t>
      </w:r>
    </w:p>
    <w:p w14:paraId="358E2A3B" w14:textId="77777777" w:rsidR="0011221F" w:rsidRPr="00833E7A" w:rsidRDefault="0011221F" w:rsidP="00833E7A">
      <w:pPr>
        <w:jc w:val="both"/>
        <w:rPr>
          <w:rFonts w:ascii="Arial" w:hAnsi="Arial" w:cs="Arial"/>
          <w:sz w:val="20"/>
          <w:szCs w:val="20"/>
        </w:rPr>
      </w:pPr>
    </w:p>
    <w:p w14:paraId="29F6FBE4" w14:textId="77777777" w:rsidR="0011221F" w:rsidRPr="00833E7A" w:rsidRDefault="0011221F" w:rsidP="00833E7A">
      <w:pPr>
        <w:jc w:val="both"/>
        <w:rPr>
          <w:rFonts w:ascii="Arial" w:hAnsi="Arial" w:cs="Arial"/>
          <w:sz w:val="20"/>
          <w:szCs w:val="20"/>
        </w:rPr>
      </w:pPr>
      <w:r w:rsidRPr="00833E7A">
        <w:rPr>
          <w:rFonts w:ascii="Arial" w:hAnsi="Arial" w:cs="Arial"/>
          <w:sz w:val="20"/>
          <w:szCs w:val="20"/>
        </w:rPr>
        <w:t>V primeru, da je pri obračunu letne premije znesek le te nižji od zneska fakturirane letne premije iz prvega odstavka prejšnjega člena, mora zavarovalnica odšteti to razliko pri fakturirani letni premiji posameznega naročnika za naslednje leto. Če se je zavarovalno obdobje izteklo, mora zavarovalnica nakazati razliko med že fakturirano letno premijo in obračunom letne premije na transakcijski račun posameznega naročnika v roku trideset (30) dni od njegove izstavitve.</w:t>
      </w:r>
    </w:p>
    <w:p w14:paraId="032A273C" w14:textId="77777777" w:rsidR="0011221F" w:rsidRPr="00833E7A" w:rsidRDefault="0011221F" w:rsidP="00833E7A">
      <w:pPr>
        <w:jc w:val="both"/>
        <w:rPr>
          <w:rFonts w:ascii="Arial" w:hAnsi="Arial" w:cs="Arial"/>
          <w:sz w:val="20"/>
          <w:szCs w:val="20"/>
        </w:rPr>
      </w:pPr>
    </w:p>
    <w:p w14:paraId="032FCE44" w14:textId="77777777" w:rsidR="0011221F" w:rsidRPr="00833E7A" w:rsidRDefault="0011221F" w:rsidP="00833E7A">
      <w:pPr>
        <w:jc w:val="both"/>
        <w:rPr>
          <w:rFonts w:ascii="Arial" w:hAnsi="Arial" w:cs="Arial"/>
          <w:sz w:val="20"/>
          <w:szCs w:val="20"/>
        </w:rPr>
      </w:pPr>
      <w:r w:rsidRPr="00833E7A">
        <w:rPr>
          <w:rFonts w:ascii="Arial" w:hAnsi="Arial" w:cs="Arial"/>
          <w:sz w:val="20"/>
          <w:szCs w:val="20"/>
        </w:rPr>
        <w:t>Enak postopek se izvede še za drugo in tretje zavarovalno leto, s tem, da se pri obračunu upoštevajo ustrezna naslednja leta.</w:t>
      </w:r>
    </w:p>
    <w:p w14:paraId="5C08B349" w14:textId="77777777" w:rsidR="0011221F" w:rsidRPr="00833E7A" w:rsidRDefault="0011221F" w:rsidP="00833E7A">
      <w:pPr>
        <w:jc w:val="both"/>
        <w:rPr>
          <w:rFonts w:ascii="Arial" w:hAnsi="Arial" w:cs="Arial"/>
          <w:sz w:val="20"/>
          <w:szCs w:val="20"/>
        </w:rPr>
      </w:pPr>
    </w:p>
    <w:p w14:paraId="54D2EB47" w14:textId="77777777" w:rsidR="0011221F" w:rsidRPr="00833E7A" w:rsidRDefault="0011221F" w:rsidP="00833E7A">
      <w:pPr>
        <w:jc w:val="both"/>
        <w:rPr>
          <w:rFonts w:ascii="Arial" w:hAnsi="Arial" w:cs="Arial"/>
          <w:sz w:val="20"/>
          <w:szCs w:val="20"/>
        </w:rPr>
      </w:pPr>
      <w:r w:rsidRPr="00833E7A">
        <w:rPr>
          <w:rFonts w:ascii="Arial" w:hAnsi="Arial" w:cs="Arial"/>
          <w:sz w:val="20"/>
          <w:szCs w:val="20"/>
        </w:rPr>
        <w:t>V celotnem zavarovalnem obdobju na zavarovalno premijo pri nobenem zavarovanju ni dopusten vpliv škodnega dogajanja (</w:t>
      </w:r>
      <w:proofErr w:type="spellStart"/>
      <w:r w:rsidRPr="00833E7A">
        <w:rPr>
          <w:rFonts w:ascii="Arial" w:hAnsi="Arial" w:cs="Arial"/>
          <w:sz w:val="20"/>
          <w:szCs w:val="20"/>
        </w:rPr>
        <w:t>malus</w:t>
      </w:r>
      <w:proofErr w:type="spellEnd"/>
      <w:r w:rsidRPr="00833E7A">
        <w:rPr>
          <w:rFonts w:ascii="Arial" w:hAnsi="Arial" w:cs="Arial"/>
          <w:sz w:val="20"/>
          <w:szCs w:val="20"/>
        </w:rPr>
        <w:t xml:space="preserve">) na premijo. </w:t>
      </w:r>
    </w:p>
    <w:p w14:paraId="3A98ED57" w14:textId="77777777" w:rsidR="0011221F" w:rsidRPr="00833E7A" w:rsidRDefault="0011221F" w:rsidP="00833E7A">
      <w:pPr>
        <w:jc w:val="both"/>
        <w:rPr>
          <w:rFonts w:ascii="Arial" w:hAnsi="Arial" w:cs="Arial"/>
          <w:sz w:val="20"/>
          <w:szCs w:val="20"/>
        </w:rPr>
      </w:pPr>
    </w:p>
    <w:p w14:paraId="17D607B0" w14:textId="38F12BC0" w:rsidR="0011221F" w:rsidRPr="00833E7A" w:rsidRDefault="0011221F" w:rsidP="00833E7A">
      <w:pPr>
        <w:jc w:val="both"/>
        <w:rPr>
          <w:rFonts w:ascii="Arial" w:hAnsi="Arial" w:cs="Arial"/>
          <w:sz w:val="20"/>
          <w:szCs w:val="20"/>
        </w:rPr>
      </w:pPr>
      <w:r w:rsidRPr="00833E7A">
        <w:rPr>
          <w:rFonts w:ascii="Arial" w:hAnsi="Arial" w:cs="Arial"/>
          <w:sz w:val="20"/>
          <w:szCs w:val="20"/>
        </w:rPr>
        <w:t>xx.</w:t>
      </w:r>
      <w:r w:rsidRPr="00833E7A">
        <w:rPr>
          <w:rFonts w:ascii="Arial" w:hAnsi="Arial" w:cs="Arial"/>
          <w:sz w:val="20"/>
          <w:szCs w:val="20"/>
        </w:rPr>
        <w:tab/>
        <w:t>člen</w:t>
      </w:r>
    </w:p>
    <w:p w14:paraId="08F19FB1" w14:textId="77777777" w:rsidR="0011221F" w:rsidRPr="00833E7A" w:rsidRDefault="0011221F" w:rsidP="00833E7A">
      <w:pPr>
        <w:jc w:val="both"/>
        <w:rPr>
          <w:rFonts w:ascii="Arial" w:hAnsi="Arial" w:cs="Arial"/>
          <w:sz w:val="20"/>
          <w:szCs w:val="20"/>
        </w:rPr>
      </w:pPr>
    </w:p>
    <w:p w14:paraId="3887F7FB" w14:textId="44E0AC58" w:rsidR="0011221F" w:rsidRPr="00833E7A" w:rsidRDefault="0011221F" w:rsidP="00833E7A">
      <w:pPr>
        <w:jc w:val="both"/>
        <w:rPr>
          <w:rFonts w:ascii="Arial" w:hAnsi="Arial" w:cs="Arial"/>
          <w:sz w:val="20"/>
          <w:szCs w:val="20"/>
        </w:rPr>
      </w:pPr>
      <w:r w:rsidRPr="00833E7A">
        <w:rPr>
          <w:rFonts w:ascii="Arial" w:hAnsi="Arial" w:cs="Arial"/>
          <w:sz w:val="20"/>
          <w:szCs w:val="20"/>
        </w:rPr>
        <w:t>Zavarovalnica prizna udeležbo na pozitivnem škodnem rezultatu vsem posameznim naročnikom posameznega sklopa na način, opredeljen v Prilogi 2</w:t>
      </w:r>
      <w:r w:rsidR="00407B2D">
        <w:rPr>
          <w:rFonts w:ascii="Arial" w:hAnsi="Arial" w:cs="Arial"/>
          <w:sz w:val="20"/>
          <w:szCs w:val="20"/>
        </w:rPr>
        <w:t xml:space="preserve"> (Tehnične specifikacije)</w:t>
      </w:r>
      <w:r w:rsidRPr="00833E7A">
        <w:rPr>
          <w:rFonts w:ascii="Arial" w:hAnsi="Arial" w:cs="Arial"/>
          <w:sz w:val="20"/>
          <w:szCs w:val="20"/>
        </w:rPr>
        <w:t>.</w:t>
      </w:r>
    </w:p>
    <w:p w14:paraId="5341383E" w14:textId="77777777" w:rsidR="0011221F" w:rsidRPr="00833E7A" w:rsidRDefault="0011221F" w:rsidP="00833E7A">
      <w:pPr>
        <w:jc w:val="both"/>
        <w:rPr>
          <w:rFonts w:ascii="Arial" w:hAnsi="Arial" w:cs="Arial"/>
          <w:sz w:val="20"/>
          <w:szCs w:val="20"/>
        </w:rPr>
      </w:pPr>
    </w:p>
    <w:p w14:paraId="0817771F" w14:textId="77777777" w:rsidR="0011221F" w:rsidRPr="00833E7A" w:rsidRDefault="0011221F" w:rsidP="00833E7A">
      <w:pPr>
        <w:jc w:val="both"/>
        <w:rPr>
          <w:rFonts w:ascii="Arial" w:hAnsi="Arial" w:cs="Arial"/>
          <w:sz w:val="20"/>
          <w:szCs w:val="20"/>
        </w:rPr>
      </w:pPr>
      <w:r w:rsidRPr="00833E7A">
        <w:rPr>
          <w:rFonts w:ascii="Arial" w:hAnsi="Arial" w:cs="Arial"/>
          <w:sz w:val="20"/>
          <w:szCs w:val="20"/>
        </w:rPr>
        <w:lastRenderedPageBreak/>
        <w:t>Obračun se opravi v roku 90 dni po preteku vsakega zavarovalnega leta (prvega, drugega in tretjega). Razdelitev pozitivnega škodnega rezultata med posameznimi naročniki se opravi glede na premijski obseg posameznega naročnika v okviru premijskega obsega celotnega sklopa. Obračun se pred pošiljanjem posameznim naročnikom uskladi z izbranim zavarovalnim posrednikom za izvajanje predmetnega naročila (v nadaljevanju: zavarovalni posrednik). Zavarovalni posrednik ima za potrditev na voljo 15 dni.</w:t>
      </w:r>
    </w:p>
    <w:p w14:paraId="07419683" w14:textId="77777777" w:rsidR="0011221F" w:rsidRPr="00833E7A" w:rsidRDefault="0011221F" w:rsidP="00833E7A">
      <w:pPr>
        <w:jc w:val="both"/>
        <w:rPr>
          <w:rFonts w:ascii="Arial" w:hAnsi="Arial" w:cs="Arial"/>
          <w:sz w:val="20"/>
          <w:szCs w:val="20"/>
        </w:rPr>
      </w:pPr>
    </w:p>
    <w:p w14:paraId="24B8C47D" w14:textId="7A37E68B" w:rsidR="005D095C" w:rsidRPr="00833E7A" w:rsidRDefault="0011221F" w:rsidP="00833E7A">
      <w:pPr>
        <w:jc w:val="both"/>
        <w:rPr>
          <w:rFonts w:ascii="Arial" w:hAnsi="Arial" w:cs="Arial"/>
          <w:sz w:val="20"/>
          <w:szCs w:val="20"/>
        </w:rPr>
      </w:pPr>
      <w:r w:rsidRPr="00833E7A">
        <w:rPr>
          <w:rFonts w:ascii="Arial" w:hAnsi="Arial" w:cs="Arial"/>
          <w:sz w:val="20"/>
          <w:szCs w:val="20"/>
        </w:rPr>
        <w:t xml:space="preserve">Zavarovalnica izvede plačilo najkasneje v roku 30 dni po potrditvi obračuna s strani vseh posameznih naročnikov, in sicer preko e-računa/e-dobropisa.  </w:t>
      </w:r>
    </w:p>
    <w:sectPr w:rsidR="005D095C" w:rsidRPr="00833E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21F"/>
    <w:rsid w:val="0011221F"/>
    <w:rsid w:val="00407B2D"/>
    <w:rsid w:val="005D095C"/>
    <w:rsid w:val="00833E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8B149"/>
  <w15:chartTrackingRefBased/>
  <w15:docId w15:val="{28E0A29B-3CE2-4759-BA07-F39ECFBBB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2805</Characters>
  <Application>Microsoft Office Word</Application>
  <DocSecurity>0</DocSecurity>
  <Lines>23</Lines>
  <Paragraphs>6</Paragraphs>
  <ScaleCrop>false</ScaleCrop>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 DJN)</dc:creator>
  <cp:keywords/>
  <dc:description/>
  <cp:lastModifiedBy>Tina Bizjak (MJU DJN)</cp:lastModifiedBy>
  <cp:revision>3</cp:revision>
  <dcterms:created xsi:type="dcterms:W3CDTF">2022-09-15T07:27:00Z</dcterms:created>
  <dcterms:modified xsi:type="dcterms:W3CDTF">2022-09-28T10:55:00Z</dcterms:modified>
</cp:coreProperties>
</file>